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E98" w:rsidRPr="000372FA" w:rsidRDefault="005F0E98" w:rsidP="000372FA">
      <w:pPr>
        <w:rPr>
          <w:sz w:val="28"/>
          <w:szCs w:val="28"/>
        </w:rPr>
      </w:pPr>
    </w:p>
    <w:p w:rsidR="000372FA" w:rsidRPr="000372FA" w:rsidRDefault="000372FA" w:rsidP="000372FA">
      <w:pPr>
        <w:rPr>
          <w:sz w:val="28"/>
          <w:szCs w:val="28"/>
        </w:rPr>
      </w:pPr>
    </w:p>
    <w:p w:rsidR="000372FA" w:rsidRPr="000372FA" w:rsidRDefault="000372FA" w:rsidP="000372FA">
      <w:pPr>
        <w:pStyle w:val="a8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0372FA" w:rsidRPr="000372FA" w:rsidRDefault="000372FA" w:rsidP="000372FA">
      <w:pPr>
        <w:pStyle w:val="a8"/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0372FA">
        <w:rPr>
          <w:rFonts w:ascii="Times New Roman" w:hAnsi="Times New Roman" w:cs="Times New Roman"/>
          <w:b/>
          <w:sz w:val="28"/>
          <w:szCs w:val="28"/>
        </w:rPr>
        <w:t>Образовательный минимум</w:t>
      </w:r>
    </w:p>
    <w:tbl>
      <w:tblPr>
        <w:tblpPr w:leftFromText="180" w:rightFromText="180" w:vertAnchor="text" w:horzAnchor="margin" w:tblpXSpec="right" w:tblpY="-3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2"/>
        <w:gridCol w:w="2713"/>
      </w:tblGrid>
      <w:tr w:rsidR="000372FA" w:rsidRPr="000372FA" w:rsidTr="00F30AE1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2FA" w:rsidRPr="000372FA" w:rsidRDefault="000372FA" w:rsidP="000372FA">
            <w:pPr>
              <w:rPr>
                <w:b/>
                <w:sz w:val="28"/>
                <w:szCs w:val="28"/>
              </w:rPr>
            </w:pPr>
            <w:r w:rsidRPr="000372FA">
              <w:rPr>
                <w:b/>
                <w:sz w:val="28"/>
                <w:szCs w:val="28"/>
              </w:rPr>
              <w:t>Четверть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2FA" w:rsidRPr="000372FA" w:rsidRDefault="000372FA" w:rsidP="000372FA">
            <w:pPr>
              <w:jc w:val="center"/>
              <w:rPr>
                <w:b/>
                <w:sz w:val="28"/>
                <w:szCs w:val="28"/>
              </w:rPr>
            </w:pPr>
            <w:r w:rsidRPr="000372FA">
              <w:rPr>
                <w:b/>
                <w:sz w:val="28"/>
                <w:szCs w:val="28"/>
              </w:rPr>
              <w:t>3</w:t>
            </w:r>
          </w:p>
        </w:tc>
      </w:tr>
      <w:tr w:rsidR="000372FA" w:rsidRPr="000372FA" w:rsidTr="00F30AE1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2FA" w:rsidRPr="000372FA" w:rsidRDefault="000372FA" w:rsidP="000372FA">
            <w:pPr>
              <w:rPr>
                <w:b/>
                <w:sz w:val="28"/>
                <w:szCs w:val="28"/>
              </w:rPr>
            </w:pPr>
            <w:r w:rsidRPr="000372FA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2FA" w:rsidRPr="000372FA" w:rsidRDefault="000372FA" w:rsidP="000372FA">
            <w:pPr>
              <w:jc w:val="center"/>
              <w:rPr>
                <w:b/>
                <w:sz w:val="28"/>
                <w:szCs w:val="28"/>
              </w:rPr>
            </w:pPr>
            <w:r w:rsidRPr="000372FA">
              <w:rPr>
                <w:b/>
                <w:sz w:val="28"/>
                <w:szCs w:val="28"/>
              </w:rPr>
              <w:t>математика</w:t>
            </w:r>
          </w:p>
        </w:tc>
      </w:tr>
      <w:tr w:rsidR="000372FA" w:rsidRPr="000372FA" w:rsidTr="00F30AE1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2FA" w:rsidRPr="000372FA" w:rsidRDefault="000372FA" w:rsidP="000372FA">
            <w:pPr>
              <w:rPr>
                <w:b/>
                <w:sz w:val="28"/>
                <w:szCs w:val="28"/>
              </w:rPr>
            </w:pPr>
            <w:r w:rsidRPr="000372F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2FA" w:rsidRPr="000372FA" w:rsidRDefault="000372FA" w:rsidP="000372FA">
            <w:pPr>
              <w:jc w:val="center"/>
              <w:rPr>
                <w:b/>
                <w:sz w:val="28"/>
                <w:szCs w:val="28"/>
              </w:rPr>
            </w:pPr>
            <w:r w:rsidRPr="000372FA">
              <w:rPr>
                <w:b/>
                <w:sz w:val="28"/>
                <w:szCs w:val="28"/>
              </w:rPr>
              <w:t>9Б</w:t>
            </w:r>
          </w:p>
        </w:tc>
      </w:tr>
      <w:tr w:rsidR="000372FA" w:rsidRPr="000372FA" w:rsidTr="00F30AE1">
        <w:trPr>
          <w:trHeight w:val="259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2FA" w:rsidRPr="000372FA" w:rsidRDefault="000372FA" w:rsidP="000372FA">
            <w:pPr>
              <w:rPr>
                <w:b/>
                <w:sz w:val="28"/>
                <w:szCs w:val="28"/>
              </w:rPr>
            </w:pPr>
            <w:r w:rsidRPr="000372FA">
              <w:rPr>
                <w:b/>
                <w:sz w:val="28"/>
                <w:szCs w:val="28"/>
              </w:rPr>
              <w:t>Учебный год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2FA" w:rsidRPr="000372FA" w:rsidRDefault="000372FA" w:rsidP="000372FA">
            <w:pPr>
              <w:jc w:val="center"/>
              <w:rPr>
                <w:b/>
                <w:sz w:val="28"/>
                <w:szCs w:val="28"/>
              </w:rPr>
            </w:pPr>
            <w:r w:rsidRPr="000372FA">
              <w:rPr>
                <w:b/>
                <w:sz w:val="28"/>
                <w:szCs w:val="28"/>
              </w:rPr>
              <w:t>2018-2019</w:t>
            </w:r>
          </w:p>
        </w:tc>
      </w:tr>
    </w:tbl>
    <w:p w:rsidR="000372FA" w:rsidRPr="000372FA" w:rsidRDefault="000372FA" w:rsidP="000372FA">
      <w:pPr>
        <w:pStyle w:val="a8"/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372FA">
        <w:rPr>
          <w:rFonts w:ascii="Times New Roman" w:hAnsi="Times New Roman" w:cs="Times New Roman"/>
          <w:b/>
          <w:position w:val="-10"/>
          <w:sz w:val="28"/>
          <w:szCs w:val="28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pt" o:ole="">
            <v:imagedata r:id="rId4" o:title=""/>
          </v:shape>
          <o:OLEObject Type="Embed" ProgID="Equation.3" ShapeID="_x0000_i1025" DrawAspect="Content" ObjectID="_1613149569" r:id="rId5"/>
        </w:object>
      </w:r>
    </w:p>
    <w:p w:rsidR="000372FA" w:rsidRPr="000372FA" w:rsidRDefault="000372FA" w:rsidP="000372FA">
      <w:pPr>
        <w:pStyle w:val="a8"/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72FA" w:rsidRPr="000372FA" w:rsidRDefault="000372FA" w:rsidP="000372FA">
      <w:pPr>
        <w:pStyle w:val="a8"/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72FA" w:rsidRPr="000372FA" w:rsidRDefault="000372FA" w:rsidP="000372FA">
      <w:pPr>
        <w:pStyle w:val="a8"/>
        <w:spacing w:after="0" w:line="240" w:lineRule="auto"/>
        <w:ind w:left="0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0372FA">
        <w:rPr>
          <w:rFonts w:ascii="Times New Roman" w:hAnsi="Times New Roman" w:cs="Times New Roman"/>
          <w:b/>
          <w:sz w:val="28"/>
          <w:szCs w:val="28"/>
        </w:rPr>
        <w:t>Алгебра</w:t>
      </w:r>
    </w:p>
    <w:p w:rsidR="000372FA" w:rsidRPr="000372FA" w:rsidRDefault="000372FA" w:rsidP="000372FA">
      <w:pPr>
        <w:pStyle w:val="a8"/>
        <w:spacing w:after="0" w:line="240" w:lineRule="auto"/>
        <w:ind w:left="0" w:firstLine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8"/>
        <w:gridCol w:w="2857"/>
        <w:gridCol w:w="11261"/>
      </w:tblGrid>
      <w:tr w:rsidR="000372FA" w:rsidRPr="000372FA" w:rsidTr="000372FA">
        <w:tc>
          <w:tcPr>
            <w:tcW w:w="226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6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Арифметическая прогрессия.</w:t>
            </w:r>
          </w:p>
        </w:tc>
        <w:tc>
          <w:tcPr>
            <w:tcW w:w="3808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Арифметической прогрессией называется последовательность, каждый член которой, начиная со второго, равен предыдущему, сложенному с одним и тем же числом.</w:t>
            </w:r>
          </w:p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>n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+</w:t>
            </w:r>
            <w:proofErr w:type="gramEnd"/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1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= 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>n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+ 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;   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>n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= 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1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+ 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1),  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</w:t>
            </w: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 xml:space="preserve"> – разность арифметической прогрессии.</w:t>
            </w:r>
          </w:p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Каждый член арифметической прогрессии, начиная со второго, равен среднему арифметическому предыдущего и последующего членов.</w:t>
            </w:r>
          </w:p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72FA">
              <w:rPr>
                <w:rFonts w:ascii="Times New Roman" w:hAnsi="Times New Roman" w:cs="Times New Roman"/>
                <w:position w:val="-24"/>
                <w:sz w:val="28"/>
                <w:szCs w:val="28"/>
                <w:lang w:val="en-US"/>
              </w:rPr>
              <w:object w:dxaOrig="1740" w:dyaOrig="639">
                <v:shape id="_x0000_i1026" type="#_x0000_t75" style="width:87pt;height:32pt" o:ole="">
                  <v:imagedata r:id="rId6" o:title=""/>
                </v:shape>
                <o:OLEObject Type="Embed" ProgID="Equation.3" ShapeID="_x0000_i1026" DrawAspect="Content" ObjectID="_1613149570" r:id="rId7"/>
              </w:object>
            </w:r>
            <w:r w:rsidRPr="000372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  </w:t>
            </w:r>
            <w:r w:rsidRPr="000372FA">
              <w:rPr>
                <w:rFonts w:ascii="Times New Roman" w:hAnsi="Times New Roman" w:cs="Times New Roman"/>
                <w:position w:val="-24"/>
                <w:sz w:val="28"/>
                <w:szCs w:val="28"/>
                <w:lang w:val="en-US"/>
              </w:rPr>
              <w:object w:dxaOrig="2200" w:dyaOrig="639">
                <v:shape id="_x0000_i1027" type="#_x0000_t75" style="width:110pt;height:32pt" o:ole="">
                  <v:imagedata r:id="rId8" o:title=""/>
                </v:shape>
                <o:OLEObject Type="Embed" ProgID="Equation.3" ShapeID="_x0000_i1027" DrawAspect="Content" ObjectID="_1613149571" r:id="rId9"/>
              </w:object>
            </w:r>
          </w:p>
        </w:tc>
      </w:tr>
      <w:tr w:rsidR="000372FA" w:rsidRPr="000372FA" w:rsidTr="000372FA">
        <w:tc>
          <w:tcPr>
            <w:tcW w:w="226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6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Геометрическая прогрессия.</w:t>
            </w:r>
          </w:p>
        </w:tc>
        <w:tc>
          <w:tcPr>
            <w:tcW w:w="3808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Геометрической прогрессией называется последовательность отличных от нуля чисел, каждый член которой, начиная со второго, равен предыдущему члену, умноженному на одно и то же число.</w:t>
            </w:r>
          </w:p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>n</w:t>
            </w:r>
            <w:proofErr w:type="spellEnd"/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+</w:t>
            </w:r>
            <w:proofErr w:type="gramEnd"/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1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= </w:t>
            </w:r>
            <w:proofErr w:type="spellStart"/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>n</w:t>
            </w:r>
            <w:proofErr w:type="spellEnd"/>
            <w:r w:rsidRPr="000372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sym w:font="Symbol" w:char="F0D7"/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q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;  </w:t>
            </w:r>
            <w:proofErr w:type="spellStart"/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>n</w:t>
            </w:r>
            <w:proofErr w:type="spellEnd"/>
            <w:r w:rsidRPr="000372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= 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 xml:space="preserve">1 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sym w:font="Symbol" w:char="F0D7"/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q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  <w:lang w:val="en-US"/>
              </w:rPr>
              <w:t>n</w:t>
            </w:r>
            <w:proofErr w:type="spellEnd"/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-1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,  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q</w:t>
            </w: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 xml:space="preserve"> – знаменатель геометрической прогрессии.</w:t>
            </w:r>
          </w:p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Квадрат любого члена геометрической прогрессии, начиная со второго, равен произведению предыдущего и последующего её членов.</w:t>
            </w:r>
          </w:p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72FA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380" w:dyaOrig="680">
                <v:shape id="_x0000_i1028" type="#_x0000_t75" style="width:69pt;height:34pt" o:ole="">
                  <v:imagedata r:id="rId10" o:title=""/>
                </v:shape>
                <o:OLEObject Type="Embed" ProgID="Equation.3" ShapeID="_x0000_i1028" DrawAspect="Content" ObjectID="_1613149572" r:id="rId11"/>
              </w:object>
            </w: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 xml:space="preserve">;  </w:t>
            </w:r>
            <w:r w:rsidRPr="000372FA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560" w:dyaOrig="700">
                <v:shape id="_x0000_i1029" type="#_x0000_t75" style="width:78pt;height:35pt" o:ole="">
                  <v:imagedata r:id="rId12" o:title=""/>
                </v:shape>
                <o:OLEObject Type="Embed" ProgID="Equation.3" ShapeID="_x0000_i1029" DrawAspect="Content" ObjectID="_1613149573" r:id="rId13"/>
              </w:object>
            </w: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 xml:space="preserve"> при</w:t>
            </w:r>
            <w:r w:rsidRPr="000372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q</w:t>
            </w: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72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≠ 1</w:t>
            </w:r>
          </w:p>
        </w:tc>
      </w:tr>
      <w:tr w:rsidR="000372FA" w:rsidRPr="000372FA" w:rsidTr="000372FA">
        <w:tc>
          <w:tcPr>
            <w:tcW w:w="226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6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Бесконечно убывающая геометрическая прогрессия.</w:t>
            </w:r>
          </w:p>
        </w:tc>
        <w:tc>
          <w:tcPr>
            <w:tcW w:w="3808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Геометрическая прогрессия с │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q</w:t>
            </w: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│&lt; 1 называется бесконечно убывающей.</w:t>
            </w:r>
          </w:p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960" w:dyaOrig="680">
                <v:shape id="_x0000_i1030" type="#_x0000_t75" style="width:48pt;height:34pt" o:ole="">
                  <v:imagedata r:id="rId14" o:title=""/>
                </v:shape>
                <o:OLEObject Type="Embed" ProgID="Equation.3" ShapeID="_x0000_i1030" DrawAspect="Content" ObjectID="_1613149574" r:id="rId15"/>
              </w:object>
            </w:r>
          </w:p>
        </w:tc>
      </w:tr>
      <w:tr w:rsidR="000372FA" w:rsidRPr="000372FA" w:rsidTr="000372FA">
        <w:tc>
          <w:tcPr>
            <w:tcW w:w="226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966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Перестановки.</w:t>
            </w:r>
          </w:p>
        </w:tc>
        <w:tc>
          <w:tcPr>
            <w:tcW w:w="3808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 xml:space="preserve">Перестановкой из </w:t>
            </w:r>
            <w:r w:rsidRPr="000372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 называется каждое расположение этих элементов в определённом порядке.</w:t>
            </w:r>
          </w:p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>n</w:t>
            </w:r>
            <w:proofErr w:type="spellEnd"/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= n!</w:t>
            </w:r>
          </w:p>
        </w:tc>
      </w:tr>
      <w:tr w:rsidR="000372FA" w:rsidRPr="000372FA" w:rsidTr="000372FA">
        <w:tc>
          <w:tcPr>
            <w:tcW w:w="226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6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Размещения.</w:t>
            </w:r>
          </w:p>
        </w:tc>
        <w:tc>
          <w:tcPr>
            <w:tcW w:w="3808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Размещением из </w:t>
            </w:r>
            <w:r w:rsidRPr="000372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 по </w:t>
            </w:r>
            <w:r w:rsidRPr="000372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0372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 xml:space="preserve"> ≤ </w:t>
            </w:r>
            <w:r w:rsidRPr="000372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 xml:space="preserve">) называется любое множество, состоящее из </w:t>
            </w:r>
            <w:r w:rsidRPr="000372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элементов, взятых в определённом порядке из данных </w:t>
            </w:r>
            <w:r w:rsidRPr="000372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элементов.</w:t>
            </w:r>
          </w:p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359" w:dyaOrig="660">
                <v:shape id="_x0000_i1031" type="#_x0000_t75" style="width:68pt;height:33pt" o:ole="">
                  <v:imagedata r:id="rId16" o:title=""/>
                </v:shape>
                <o:OLEObject Type="Embed" ProgID="Equation.3" ShapeID="_x0000_i1031" DrawAspect="Content" ObjectID="_1613149575" r:id="rId17"/>
              </w:object>
            </w:r>
          </w:p>
        </w:tc>
      </w:tr>
      <w:tr w:rsidR="000372FA" w:rsidRPr="000372FA" w:rsidTr="000372FA">
        <w:tc>
          <w:tcPr>
            <w:tcW w:w="226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66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Сочетания.</w:t>
            </w:r>
          </w:p>
        </w:tc>
        <w:tc>
          <w:tcPr>
            <w:tcW w:w="3808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 xml:space="preserve">Сочетанием из </w:t>
            </w:r>
            <w:r w:rsidRPr="000372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 по </w:t>
            </w:r>
            <w:r w:rsidRPr="000372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 xml:space="preserve"> называется любое множество, составленное из </w:t>
            </w:r>
            <w:r w:rsidRPr="000372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элементов, выбранных из данных </w:t>
            </w:r>
            <w:r w:rsidRPr="000372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элементов.</w:t>
            </w:r>
          </w:p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72FA">
              <w:rPr>
                <w:rFonts w:ascii="Times New Roman" w:hAnsi="Times New Roman" w:cs="Times New Roman"/>
                <w:position w:val="-28"/>
                <w:sz w:val="28"/>
                <w:szCs w:val="28"/>
                <w:lang w:val="en-US"/>
              </w:rPr>
              <w:object w:dxaOrig="1579" w:dyaOrig="660">
                <v:shape id="_x0000_i1032" type="#_x0000_t75" style="width:79pt;height:33pt" o:ole="">
                  <v:imagedata r:id="rId18" o:title=""/>
                </v:shape>
                <o:OLEObject Type="Embed" ProgID="Equation.3" ShapeID="_x0000_i1032" DrawAspect="Content" ObjectID="_1613149576" r:id="rId19"/>
              </w:object>
            </w:r>
          </w:p>
        </w:tc>
      </w:tr>
      <w:tr w:rsidR="000372FA" w:rsidRPr="000372FA" w:rsidTr="000372FA">
        <w:tc>
          <w:tcPr>
            <w:tcW w:w="226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66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Начальные сведения из теории вероятностей.</w:t>
            </w:r>
          </w:p>
        </w:tc>
        <w:tc>
          <w:tcPr>
            <w:tcW w:w="3808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 xml:space="preserve">Если все исходы какого- либо испытания </w:t>
            </w:r>
            <w:proofErr w:type="spellStart"/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равновозможны</w:t>
            </w:r>
            <w:proofErr w:type="spellEnd"/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, то вероятность события в этом испытании равна отношению числа благоприятных  для него исходов к числу всех равновозможных исходов.</w:t>
            </w:r>
          </w:p>
        </w:tc>
      </w:tr>
    </w:tbl>
    <w:p w:rsidR="000372FA" w:rsidRPr="000372FA" w:rsidRDefault="000372FA" w:rsidP="000372FA">
      <w:pPr>
        <w:pStyle w:val="a8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0372FA" w:rsidRPr="000372FA" w:rsidRDefault="000372FA" w:rsidP="000372FA">
      <w:pPr>
        <w:pStyle w:val="a8"/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0372FA">
        <w:rPr>
          <w:rFonts w:ascii="Times New Roman" w:hAnsi="Times New Roman" w:cs="Times New Roman"/>
          <w:b/>
          <w:sz w:val="28"/>
          <w:szCs w:val="28"/>
        </w:rPr>
        <w:t>Геометрия</w:t>
      </w:r>
    </w:p>
    <w:p w:rsidR="000372FA" w:rsidRPr="000372FA" w:rsidRDefault="000372FA" w:rsidP="000372FA">
      <w:pPr>
        <w:pStyle w:val="a8"/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6"/>
        <w:gridCol w:w="2877"/>
        <w:gridCol w:w="11223"/>
      </w:tblGrid>
      <w:tr w:rsidR="000372FA" w:rsidRPr="000372FA" w:rsidTr="00F30AE1">
        <w:tc>
          <w:tcPr>
            <w:tcW w:w="232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3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Правильный многоугольник.</w:t>
            </w:r>
          </w:p>
        </w:tc>
        <w:tc>
          <w:tcPr>
            <w:tcW w:w="3795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Правильным многоугольником называется выпуклый многоугольник, у которого все углы равны и все стороны равны.</w:t>
            </w:r>
          </w:p>
        </w:tc>
      </w:tr>
      <w:tr w:rsidR="000372FA" w:rsidRPr="000372FA" w:rsidTr="00F30AE1">
        <w:tc>
          <w:tcPr>
            <w:tcW w:w="232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3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Окружность, описанная около правильного многоугольника.</w:t>
            </w:r>
          </w:p>
        </w:tc>
        <w:tc>
          <w:tcPr>
            <w:tcW w:w="3795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Около любого правильного многоугольника можно описать окружность, и притом только одну.</w:t>
            </w:r>
          </w:p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Центр окружности – точка пересечения биссектрис углов.</w:t>
            </w:r>
          </w:p>
        </w:tc>
      </w:tr>
      <w:tr w:rsidR="000372FA" w:rsidRPr="000372FA" w:rsidTr="00F30AE1">
        <w:tc>
          <w:tcPr>
            <w:tcW w:w="232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3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Окружность, вписанная в правильный многоугольник.</w:t>
            </w:r>
          </w:p>
        </w:tc>
        <w:tc>
          <w:tcPr>
            <w:tcW w:w="3795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В любой правильный многоугольник можно вписать окружность, и притом только одну.</w:t>
            </w:r>
          </w:p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Окружность, вписанная в правильный многоугольник, касается сторон многоугольника в их серединах.</w:t>
            </w:r>
          </w:p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 xml:space="preserve">Центр окружности, описанной около правильного многоугольника, совпадает с центром окружности, вписанной в тот же  многоугольник. </w:t>
            </w:r>
          </w:p>
        </w:tc>
      </w:tr>
      <w:tr w:rsidR="000372FA" w:rsidRPr="000372FA" w:rsidTr="00F30AE1">
        <w:tc>
          <w:tcPr>
            <w:tcW w:w="232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973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Формулы для вычисления площади правильного многоугольника, его стороны и радиуса вписанной окружности.</w:t>
            </w:r>
          </w:p>
        </w:tc>
        <w:tc>
          <w:tcPr>
            <w:tcW w:w="3795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position w:val="-24"/>
                <w:sz w:val="28"/>
                <w:szCs w:val="28"/>
                <w:lang w:val="en-US"/>
              </w:rPr>
              <w:object w:dxaOrig="900" w:dyaOrig="620">
                <v:shape id="_x0000_i1033" type="#_x0000_t75" style="width:45pt;height:31pt" o:ole="">
                  <v:imagedata r:id="rId20" o:title=""/>
                </v:shape>
                <o:OLEObject Type="Embed" ProgID="Equation.3" ShapeID="_x0000_i1033" DrawAspect="Content" ObjectID="_1613149577" r:id="rId21"/>
              </w:object>
            </w: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 xml:space="preserve">,    </w:t>
            </w:r>
            <w:r w:rsidRPr="000372FA">
              <w:rPr>
                <w:rFonts w:ascii="Times New Roman" w:hAnsi="Times New Roman" w:cs="Times New Roman"/>
                <w:position w:val="-24"/>
                <w:sz w:val="28"/>
                <w:szCs w:val="28"/>
                <w:lang w:val="en-US"/>
              </w:rPr>
              <w:object w:dxaOrig="1700" w:dyaOrig="660">
                <v:shape id="_x0000_i1034" type="#_x0000_t75" style="width:85pt;height:33pt" o:ole="">
                  <v:imagedata r:id="rId22" o:title=""/>
                </v:shape>
                <o:OLEObject Type="Embed" ProgID="Equation.3" ShapeID="_x0000_i1034" DrawAspect="Content" ObjectID="_1613149578" r:id="rId23"/>
              </w:object>
            </w: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 xml:space="preserve">,    </w:t>
            </w:r>
            <w:r w:rsidRPr="000372FA">
              <w:rPr>
                <w:rFonts w:ascii="Times New Roman" w:hAnsi="Times New Roman" w:cs="Times New Roman"/>
                <w:position w:val="-24"/>
                <w:sz w:val="28"/>
                <w:szCs w:val="28"/>
                <w:lang w:val="en-US"/>
              </w:rPr>
              <w:object w:dxaOrig="1460" w:dyaOrig="660">
                <v:shape id="_x0000_i1035" type="#_x0000_t75" style="width:73pt;height:33pt" o:ole="">
                  <v:imagedata r:id="rId24" o:title=""/>
                </v:shape>
                <o:OLEObject Type="Embed" ProgID="Equation.3" ShapeID="_x0000_i1035" DrawAspect="Content" ObjectID="_1613149579" r:id="rId25"/>
              </w:object>
            </w:r>
          </w:p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 xml:space="preserve">– площадь правильного </w:t>
            </w:r>
            <w:r w:rsidRPr="000372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 xml:space="preserve">-угольника , 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</w:t>
            </w: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 xml:space="preserve"> – периметр правильного </w:t>
            </w:r>
            <w:r w:rsidRPr="000372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 xml:space="preserve">-угольника, 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 xml:space="preserve"> – радиусы описанной и вписанной окружностей, 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>n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 xml:space="preserve"> </w:t>
            </w: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 xml:space="preserve"> - сторона правильного </w:t>
            </w:r>
            <w:r w:rsidRPr="000372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 xml:space="preserve">-угольника </w:t>
            </w:r>
          </w:p>
        </w:tc>
      </w:tr>
      <w:tr w:rsidR="000372FA" w:rsidRPr="000372FA" w:rsidTr="00F30AE1">
        <w:tc>
          <w:tcPr>
            <w:tcW w:w="232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3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Длина окружности.</w:t>
            </w:r>
          </w:p>
        </w:tc>
        <w:tc>
          <w:tcPr>
            <w:tcW w:w="3795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C = 2πR,    l = </w:t>
            </w:r>
            <w:r w:rsidRPr="000372FA">
              <w:rPr>
                <w:rFonts w:ascii="Times New Roman" w:hAnsi="Times New Roman" w:cs="Times New Roman"/>
                <w:i/>
                <w:position w:val="-24"/>
                <w:sz w:val="28"/>
                <w:szCs w:val="28"/>
                <w:lang w:val="en-US"/>
              </w:rPr>
              <w:object w:dxaOrig="740" w:dyaOrig="620">
                <v:shape id="_x0000_i1036" type="#_x0000_t75" style="width:37pt;height:31pt" o:ole="">
                  <v:imagedata r:id="rId26" o:title=""/>
                </v:shape>
                <o:OLEObject Type="Embed" ProgID="Equation.3" ShapeID="_x0000_i1036" DrawAspect="Content" ObjectID="_1613149580" r:id="rId27"/>
              </w:object>
            </w:r>
          </w:p>
        </w:tc>
      </w:tr>
      <w:tr w:rsidR="000372FA" w:rsidRPr="000372FA" w:rsidTr="00F30AE1">
        <w:tc>
          <w:tcPr>
            <w:tcW w:w="232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3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Площадь круга.</w:t>
            </w:r>
          </w:p>
        </w:tc>
        <w:tc>
          <w:tcPr>
            <w:tcW w:w="3795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 = πR</w:t>
            </w:r>
            <w:r w:rsidRPr="000372FA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  <w:lang w:val="en-US"/>
              </w:rPr>
              <w:t>2</w:t>
            </w:r>
          </w:p>
        </w:tc>
      </w:tr>
      <w:tr w:rsidR="000372FA" w:rsidRPr="000372FA" w:rsidTr="00F30AE1">
        <w:tc>
          <w:tcPr>
            <w:tcW w:w="232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73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Площадь кругового сектора.</w:t>
            </w:r>
          </w:p>
        </w:tc>
        <w:tc>
          <w:tcPr>
            <w:tcW w:w="3795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1200" w:dyaOrig="660">
                <v:shape id="_x0000_i1037" type="#_x0000_t75" style="width:60pt;height:33pt" o:ole="">
                  <v:imagedata r:id="rId28" o:title=""/>
                </v:shape>
                <o:OLEObject Type="Embed" ProgID="Equation.3" ShapeID="_x0000_i1037" DrawAspect="Content" ObjectID="_1613149581" r:id="rId29"/>
              </w:object>
            </w:r>
          </w:p>
        </w:tc>
      </w:tr>
      <w:tr w:rsidR="000372FA" w:rsidRPr="000372FA" w:rsidTr="00F30AE1">
        <w:tc>
          <w:tcPr>
            <w:tcW w:w="232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3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</w:tc>
        <w:tc>
          <w:tcPr>
            <w:tcW w:w="3795" w:type="pct"/>
          </w:tcPr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Движение плоскости – это отображение плоскости на себя, сохраняющее расстояния.</w:t>
            </w:r>
          </w:p>
          <w:p w:rsidR="000372FA" w:rsidRPr="000372FA" w:rsidRDefault="000372FA" w:rsidP="000372FA">
            <w:pPr>
              <w:pStyle w:val="a8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2FA">
              <w:rPr>
                <w:rFonts w:ascii="Times New Roman" w:hAnsi="Times New Roman" w:cs="Times New Roman"/>
                <w:sz w:val="28"/>
                <w:szCs w:val="28"/>
              </w:rPr>
              <w:t>При движении отрезок отображается на отрезок.</w:t>
            </w:r>
          </w:p>
        </w:tc>
      </w:tr>
    </w:tbl>
    <w:p w:rsidR="000372FA" w:rsidRPr="000372FA" w:rsidRDefault="000372FA" w:rsidP="000372FA">
      <w:pPr>
        <w:pStyle w:val="a8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0372FA" w:rsidRPr="000372FA" w:rsidRDefault="000372FA" w:rsidP="000372FA">
      <w:pPr>
        <w:pStyle w:val="a8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0372FA" w:rsidRPr="000372FA" w:rsidRDefault="000372FA" w:rsidP="000372FA">
      <w:pPr>
        <w:pStyle w:val="a8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0372FA" w:rsidRPr="000372FA" w:rsidRDefault="000372FA" w:rsidP="000372FA">
      <w:pPr>
        <w:pStyle w:val="a8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0372FA" w:rsidRPr="000372FA" w:rsidRDefault="000372FA" w:rsidP="000372FA">
      <w:pPr>
        <w:pStyle w:val="a8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0372FA" w:rsidRPr="000372FA" w:rsidRDefault="000372FA" w:rsidP="000372FA">
      <w:pPr>
        <w:pStyle w:val="a8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0372FA" w:rsidRPr="000372FA" w:rsidRDefault="000372FA" w:rsidP="000372FA">
      <w:pPr>
        <w:rPr>
          <w:sz w:val="28"/>
          <w:szCs w:val="28"/>
        </w:rPr>
      </w:pPr>
    </w:p>
    <w:sectPr w:rsidR="000372FA" w:rsidRPr="000372FA" w:rsidSect="000372F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JhengHei">
    <w:charset w:val="88"/>
    <w:family w:val="swiss"/>
    <w:pitch w:val="variable"/>
    <w:sig w:usb0="00000087" w:usb1="288F4000" w:usb2="00000016" w:usb3="00000000" w:csb0="00100009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372FA"/>
    <w:rsid w:val="000372FA"/>
    <w:rsid w:val="003F6A70"/>
    <w:rsid w:val="005319BA"/>
    <w:rsid w:val="005F0E98"/>
    <w:rsid w:val="006A7B3D"/>
    <w:rsid w:val="00954003"/>
    <w:rsid w:val="00AF28AF"/>
    <w:rsid w:val="00C049FC"/>
    <w:rsid w:val="00EE4C44"/>
    <w:rsid w:val="00F62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2FA"/>
    <w:pPr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6A70"/>
    <w:pPr>
      <w:keepNext/>
      <w:spacing w:before="240" w:after="60"/>
      <w:ind w:firstLine="720"/>
      <w:jc w:val="both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3F6A70"/>
    <w:pPr>
      <w:keepNext/>
      <w:ind w:firstLine="720"/>
      <w:jc w:val="center"/>
      <w:outlineLvl w:val="1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6A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3F6A70"/>
    <w:rPr>
      <w:rFonts w:eastAsia="Times New Roman"/>
      <w:b/>
      <w:bCs/>
      <w:sz w:val="24"/>
      <w:szCs w:val="24"/>
    </w:rPr>
  </w:style>
  <w:style w:type="paragraph" w:styleId="a3">
    <w:name w:val="Title"/>
    <w:basedOn w:val="a"/>
    <w:link w:val="a4"/>
    <w:qFormat/>
    <w:rsid w:val="003F6A70"/>
    <w:pPr>
      <w:ind w:firstLine="720"/>
      <w:jc w:val="center"/>
    </w:pPr>
    <w:rPr>
      <w:b/>
      <w:bCs/>
      <w:sz w:val="28"/>
      <w:lang w:eastAsia="en-US"/>
    </w:rPr>
  </w:style>
  <w:style w:type="character" w:customStyle="1" w:styleId="a4">
    <w:name w:val="Название Знак"/>
    <w:link w:val="a3"/>
    <w:rsid w:val="003F6A70"/>
    <w:rPr>
      <w:rFonts w:eastAsia="Times New Roman"/>
      <w:b/>
      <w:bCs/>
      <w:sz w:val="28"/>
      <w:szCs w:val="24"/>
    </w:rPr>
  </w:style>
  <w:style w:type="character" w:styleId="a5">
    <w:name w:val="Strong"/>
    <w:qFormat/>
    <w:rsid w:val="003F6A70"/>
    <w:rPr>
      <w:b/>
      <w:bCs/>
    </w:rPr>
  </w:style>
  <w:style w:type="paragraph" w:styleId="a6">
    <w:name w:val="No Spacing"/>
    <w:link w:val="a7"/>
    <w:uiPriority w:val="1"/>
    <w:qFormat/>
    <w:rsid w:val="003F6A70"/>
    <w:rPr>
      <w:rFonts w:eastAsia="Microsoft JhengHei"/>
    </w:rPr>
  </w:style>
  <w:style w:type="character" w:customStyle="1" w:styleId="a7">
    <w:name w:val="Без интервала Знак"/>
    <w:link w:val="a6"/>
    <w:uiPriority w:val="1"/>
    <w:rsid w:val="003F6A70"/>
    <w:rPr>
      <w:rFonts w:eastAsia="Microsoft JhengHei"/>
    </w:rPr>
  </w:style>
  <w:style w:type="paragraph" w:styleId="a8">
    <w:name w:val="List Paragraph"/>
    <w:basedOn w:val="a"/>
    <w:uiPriority w:val="34"/>
    <w:qFormat/>
    <w:rsid w:val="003F6A70"/>
    <w:pPr>
      <w:spacing w:after="160" w:line="259" w:lineRule="auto"/>
      <w:ind w:left="720" w:firstLine="720"/>
      <w:contextualSpacing/>
      <w:jc w:val="both"/>
    </w:pPr>
    <w:rPr>
      <w:rFonts w:ascii="Trebuchet MS" w:eastAsia="Trebuchet MS" w:hAnsi="Trebuchet MS" w:cs="Tahoma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</cp:revision>
  <dcterms:created xsi:type="dcterms:W3CDTF">2019-03-03T17:16:00Z</dcterms:created>
  <dcterms:modified xsi:type="dcterms:W3CDTF">2019-03-03T17:20:00Z</dcterms:modified>
</cp:coreProperties>
</file>